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037EE3B6"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Central Transmission Utility of India Ltd.,</w:t>
      </w:r>
    </w:p>
    <w:p w14:paraId="35F27491"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"Saudamini", Plot No. 2, Sector 29</w:t>
      </w:r>
    </w:p>
    <w:p w14:paraId="316EA20A"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Gurgaon (Haryana) - 122001</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435679F9" w:rsidR="003F46C4" w:rsidRPr="006C436B" w:rsidRDefault="003F46C4" w:rsidP="006C436B">
            <w:pPr>
              <w:jc w:val="both"/>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RfP Documents, including Amendment/Addenda the receipt of which is hereby acknowledged, we the undersigned, offer to deliver services as per provisions of Terms of Reference </w:t>
      </w:r>
      <w:r>
        <w:rPr>
          <w:rFonts w:ascii="Book Antiqua" w:hAnsi="Book Antiqua" w:cs="Arial"/>
          <w:szCs w:val="22"/>
        </w:rPr>
        <w:t xml:space="preserve">(ToR) </w:t>
      </w:r>
      <w:r w:rsidRPr="003F46C4">
        <w:rPr>
          <w:rFonts w:ascii="Book Antiqua" w:hAnsi="Book Antiqua" w:cs="Arial"/>
          <w:szCs w:val="22"/>
        </w:rPr>
        <w:t>under the above-named package in full conformity with the said RfP Documents. In accordance with provisions of the RfP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In line with the requirement of the RfP Documents, we enclose herewith the following Attachments to this Letter of Proposal:</w:t>
      </w:r>
    </w:p>
    <w:p w14:paraId="3DB64DAD" w14:textId="77777777" w:rsidR="003F46C4" w:rsidRDefault="003F46C4" w:rsidP="003F46C4">
      <w:pPr>
        <w:pStyle w:val="ListParagraph"/>
        <w:jc w:val="both"/>
        <w:rPr>
          <w:rFonts w:ascii="Book Antiqua" w:hAnsi="Book Antiqua" w:cs="Arial"/>
          <w:szCs w:val="22"/>
        </w:rPr>
      </w:pPr>
    </w:p>
    <w:p w14:paraId="15CEC10A" w14:textId="77777777" w:rsidR="003F46C4" w:rsidRDefault="003F46C4" w:rsidP="003F46C4">
      <w:pPr>
        <w:pStyle w:val="ListParagraph"/>
        <w:jc w:val="both"/>
        <w:rPr>
          <w:rFonts w:ascii="Book Antiqua" w:hAnsi="Book Antiqua" w:cs="Arial"/>
          <w:szCs w:val="22"/>
        </w:rPr>
      </w:pPr>
    </w:p>
    <w:p w14:paraId="37D05248" w14:textId="77777777" w:rsidR="003F46C4" w:rsidRDefault="003F46C4" w:rsidP="003F46C4">
      <w:pPr>
        <w:pStyle w:val="ListParagraph"/>
        <w:jc w:val="both"/>
        <w:rPr>
          <w:rFonts w:ascii="Book Antiqua" w:hAnsi="Book Antiqua" w:cs="Arial"/>
          <w:szCs w:val="22"/>
        </w:rPr>
      </w:pPr>
    </w:p>
    <w:p w14:paraId="4DF17018" w14:textId="77777777" w:rsidR="003F46C4" w:rsidRDefault="003F46C4" w:rsidP="003F46C4">
      <w:pPr>
        <w:pStyle w:val="ListParagraph"/>
        <w:jc w:val="both"/>
        <w:rPr>
          <w:rFonts w:ascii="Book Antiqua" w:hAnsi="Book Antiqua" w:cs="Arial"/>
          <w:szCs w:val="22"/>
        </w:rPr>
      </w:pPr>
    </w:p>
    <w:p w14:paraId="42661DB0" w14:textId="77777777" w:rsidR="00AB4944" w:rsidRDefault="00AB4944" w:rsidP="00AB4944">
      <w:pPr>
        <w:tabs>
          <w:tab w:val="left" w:pos="1890"/>
        </w:tabs>
        <w:ind w:left="1890"/>
        <w:jc w:val="both"/>
        <w:rPr>
          <w:rFonts w:ascii="Book Antiqua" w:hAnsi="Book Antiqua" w:cs="Arial"/>
          <w:spacing w:val="-2"/>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AB4944">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AB4944">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AB4944">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AB4944">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 xml:space="preserve">Information for E-payment, PF details and declaration </w:t>
            </w:r>
            <w:r w:rsidRPr="0068631C">
              <w:rPr>
                <w:rFonts w:ascii="Book Antiqua" w:hAnsi="Book Antiqua" w:cs="Arial"/>
                <w:sz w:val="22"/>
                <w:szCs w:val="22"/>
              </w:rPr>
              <w:lastRenderedPageBreak/>
              <w:t>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2BCEDE1A" w14:textId="77777777" w:rsidR="00AB4944" w:rsidRDefault="00AB4944" w:rsidP="005C7643">
            <w:pPr>
              <w:jc w:val="both"/>
              <w:rPr>
                <w:rFonts w:ascii="Book Antiqua" w:hAnsi="Book Antiqua" w:cs="Arial"/>
                <w:sz w:val="22"/>
                <w:szCs w:val="22"/>
              </w:rPr>
            </w:pP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AB4944">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Bidder shall furnish this PoA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AB4944">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AB4944">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19491648" w14:textId="77777777" w:rsidR="00026FD0" w:rsidRPr="00FC0343" w:rsidRDefault="00026FD0" w:rsidP="005C7643">
            <w:pPr>
              <w:jc w:val="both"/>
              <w:rPr>
                <w:rFonts w:ascii="Book Antiqua" w:hAnsi="Book Antiqua" w:cs="Arial"/>
                <w:sz w:val="22"/>
                <w:szCs w:val="22"/>
              </w:rPr>
            </w:pPr>
          </w:p>
        </w:tc>
      </w:tr>
      <w:tr w:rsidR="00AB4944" w14:paraId="78622BB3" w14:textId="77777777" w:rsidTr="00AB4944">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1AC9FE95" w14:textId="77777777" w:rsidR="00AB4944" w:rsidRDefault="00AB4944" w:rsidP="005C7643">
            <w:pPr>
              <w:jc w:val="both"/>
              <w:rPr>
                <w:rFonts w:ascii="Book Antiqua" w:hAnsi="Book Antiqua" w:cs="Arial"/>
                <w:sz w:val="22"/>
                <w:szCs w:val="22"/>
              </w:rPr>
            </w:pPr>
          </w:p>
          <w:p w14:paraId="523857CB" w14:textId="77777777" w:rsidR="00026FD0" w:rsidRDefault="00026FD0" w:rsidP="005C7643">
            <w:pPr>
              <w:jc w:val="both"/>
              <w:rPr>
                <w:rFonts w:ascii="Book Antiqua" w:hAnsi="Book Antiqua" w:cs="Arial"/>
                <w:sz w:val="22"/>
                <w:szCs w:val="22"/>
              </w:rPr>
            </w:pP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AB4944">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(i)</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AB4944">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bl>
    <w:bookmarkEnd w:id="0"/>
    <w:p w14:paraId="1CA65804" w14:textId="77777777"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 a designated Authority of GoI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RfP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RfP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19D780" w14:textId="77777777" w:rsidR="003F46C4" w:rsidRDefault="003F46C4" w:rsidP="003F46C4">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71FA0660" w14:textId="77777777" w:rsidR="006D2DE8" w:rsidRDefault="006D2DE8" w:rsidP="006D2DE8">
      <w:pPr>
        <w:pStyle w:val="ListParagraph"/>
        <w:jc w:val="both"/>
        <w:rPr>
          <w:rFonts w:ascii="Book Antiqua" w:hAnsi="Book Antiqua" w:cs="Arial"/>
          <w:szCs w:val="22"/>
        </w:rPr>
      </w:pPr>
    </w:p>
    <w:p w14:paraId="1FD39520"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Our Proposal shall remain valid for acceptance for a period of </w:t>
      </w:r>
      <w:r w:rsidR="00026FD0" w:rsidRPr="00425A15">
        <w:rPr>
          <w:rFonts w:ascii="Book Antiqua" w:hAnsi="Book Antiqua" w:cs="Arial"/>
          <w:szCs w:val="22"/>
        </w:rPr>
        <w:t>180 (One Hundred and Eighty) days</w:t>
      </w:r>
      <w:r w:rsidRPr="006D2DE8">
        <w:rPr>
          <w:rFonts w:ascii="Book Antiqua" w:hAnsi="Book Antiqua" w:cs="Arial"/>
          <w:szCs w:val="22"/>
        </w:rPr>
        <w:t xml:space="preserve"> after the </w:t>
      </w:r>
      <w:r w:rsidR="00847BA6">
        <w:rPr>
          <w:rFonts w:ascii="Book Antiqua" w:hAnsi="Book Antiqua" w:cs="Arial"/>
          <w:szCs w:val="22"/>
        </w:rPr>
        <w:t xml:space="preserve">original </w:t>
      </w:r>
      <w:r w:rsidRPr="006D2DE8">
        <w:rPr>
          <w:rFonts w:ascii="Book Antiqua" w:hAnsi="Book Antiqua" w:cs="Arial"/>
          <w:szCs w:val="22"/>
        </w:rPr>
        <w:t xml:space="preserve">date </w:t>
      </w:r>
      <w:r w:rsidRPr="00AB4944">
        <w:rPr>
          <w:rFonts w:ascii="Book Antiqua" w:hAnsi="Book Antiqua" w:cs="Arial"/>
          <w:szCs w:val="22"/>
        </w:rPr>
        <w:t xml:space="preserve">of </w:t>
      </w:r>
      <w:r w:rsidR="00AB4944" w:rsidRPr="00AB4944">
        <w:rPr>
          <w:rFonts w:ascii="Book Antiqua" w:hAnsi="Book Antiqua" w:cs="Arial"/>
          <w:szCs w:val="22"/>
        </w:rPr>
        <w:t>submission</w:t>
      </w:r>
      <w:r w:rsidRPr="00AB4944">
        <w:rPr>
          <w:rFonts w:ascii="Book Antiqua" w:hAnsi="Book Antiqua" w:cs="Arial"/>
          <w:szCs w:val="22"/>
        </w:rPr>
        <w:t xml:space="preserve"> of the First Envelope Proposal</w:t>
      </w:r>
      <w:r w:rsidRPr="006D2DE8">
        <w:rPr>
          <w:rFonts w:ascii="Book Antiqua" w:hAnsi="Book Antiqua" w:cs="Arial"/>
          <w:szCs w:val="22"/>
        </w:rPr>
        <w:t>.</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have not made any deviations from the requirement of the RfP document and we have also not made any tampering or changes in the RfP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14:paraId="4FF9CB12" w14:textId="77777777" w:rsidR="005633F4" w:rsidRPr="005633F4" w:rsidRDefault="005633F4"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 xml:space="preserve">We are aware that the Price Schedule do not generally give a full description of the Work to be performed and we shall be deemed to have read the Terms of Reference </w:t>
      </w:r>
      <w:r w:rsidRPr="005633F4">
        <w:rPr>
          <w:rFonts w:ascii="Book Antiqua" w:hAnsi="Book Antiqua" w:cs="Arial"/>
          <w:szCs w:val="22"/>
        </w:rPr>
        <w:lastRenderedPageBreak/>
        <w:t>and other sections of the RfP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34E592E3"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w:t>
      </w:r>
      <w:r w:rsidR="00021E7C">
        <w:rPr>
          <w:rFonts w:ascii="Book Antiqua" w:hAnsi="Book Antiqua" w:cs="Arial"/>
          <w:szCs w:val="22"/>
        </w:rPr>
        <w:t>as per GeM terms &amp; Conditions</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shd w:val="clear" w:color="auto" w:fill="auto"/>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Date :</w:t>
            </w:r>
          </w:p>
        </w:tc>
        <w:tc>
          <w:tcPr>
            <w:tcW w:w="2925" w:type="dxa"/>
            <w:shd w:val="clear" w:color="auto" w:fill="auto"/>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Printed Name :</w:t>
            </w:r>
          </w:p>
        </w:tc>
        <w:tc>
          <w:tcPr>
            <w:tcW w:w="2430" w:type="dxa"/>
            <w:shd w:val="clear" w:color="auto" w:fill="auto"/>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shd w:val="clear" w:color="auto" w:fill="auto"/>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Place :</w:t>
            </w:r>
          </w:p>
        </w:tc>
        <w:tc>
          <w:tcPr>
            <w:tcW w:w="2925" w:type="dxa"/>
            <w:shd w:val="clear" w:color="auto" w:fill="auto"/>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Designation :</w:t>
            </w:r>
          </w:p>
        </w:tc>
        <w:tc>
          <w:tcPr>
            <w:tcW w:w="2430" w:type="dxa"/>
            <w:shd w:val="clear" w:color="auto" w:fill="auto"/>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EC4A5" w14:textId="77777777" w:rsidR="006E2B77" w:rsidRDefault="006E2B77" w:rsidP="00B64E06">
      <w:pPr>
        <w:spacing w:after="0" w:line="240" w:lineRule="auto"/>
      </w:pPr>
      <w:r>
        <w:separator/>
      </w:r>
    </w:p>
  </w:endnote>
  <w:endnote w:type="continuationSeparator" w:id="0">
    <w:p w14:paraId="4C943DBC" w14:textId="77777777" w:rsidR="006E2B77" w:rsidRDefault="006E2B77"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72F61"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4F4841">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14:paraId="43117793"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4EC5A" w14:textId="77777777" w:rsidR="006E2B77" w:rsidRDefault="006E2B77" w:rsidP="00B64E06">
      <w:pPr>
        <w:spacing w:after="0" w:line="240" w:lineRule="auto"/>
      </w:pPr>
      <w:r>
        <w:separator/>
      </w:r>
    </w:p>
  </w:footnote>
  <w:footnote w:type="continuationSeparator" w:id="0">
    <w:p w14:paraId="164FB3AF" w14:textId="77777777" w:rsidR="006E2B77" w:rsidRDefault="006E2B77"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3A2BF4AE" w:rsidR="00185809" w:rsidRPr="007736A9" w:rsidRDefault="007736A9" w:rsidP="004F4841">
          <w:pPr>
            <w:pStyle w:val="Header"/>
            <w:rPr>
              <w:rFonts w:ascii="Book Antiqua" w:hAnsi="Book Antiqua"/>
              <w:szCs w:val="22"/>
            </w:rPr>
          </w:pPr>
          <w:r w:rsidRPr="007736A9">
            <w:rPr>
              <w:rFonts w:ascii="Book Antiqua" w:hAnsi="Book Antiqua" w:cs="Arial"/>
              <w:sz w:val="22"/>
              <w:szCs w:val="22"/>
            </w:rPr>
            <w:t xml:space="preserve">Spec. No. </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95pt;height:12.5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2"/>
  </w:num>
  <w:num w:numId="2" w16cid:durableId="1058473565">
    <w:abstractNumId w:val="3"/>
  </w:num>
  <w:num w:numId="3" w16cid:durableId="1664702328">
    <w:abstractNumId w:val="1"/>
  </w:num>
  <w:num w:numId="4" w16cid:durableId="309214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1E7C"/>
    <w:rsid w:val="00026FD0"/>
    <w:rsid w:val="00050F33"/>
    <w:rsid w:val="00063631"/>
    <w:rsid w:val="0009421E"/>
    <w:rsid w:val="000C2FBF"/>
    <w:rsid w:val="00131F30"/>
    <w:rsid w:val="00161618"/>
    <w:rsid w:val="00171929"/>
    <w:rsid w:val="00185809"/>
    <w:rsid w:val="0018778F"/>
    <w:rsid w:val="00192B5F"/>
    <w:rsid w:val="001B4844"/>
    <w:rsid w:val="002610DF"/>
    <w:rsid w:val="00293DE4"/>
    <w:rsid w:val="002B36BE"/>
    <w:rsid w:val="002E4C39"/>
    <w:rsid w:val="0038132D"/>
    <w:rsid w:val="003A1820"/>
    <w:rsid w:val="003B6592"/>
    <w:rsid w:val="003C53C0"/>
    <w:rsid w:val="003F46C4"/>
    <w:rsid w:val="00413100"/>
    <w:rsid w:val="00421A5D"/>
    <w:rsid w:val="00425A15"/>
    <w:rsid w:val="00447E37"/>
    <w:rsid w:val="00477CCD"/>
    <w:rsid w:val="00490571"/>
    <w:rsid w:val="004F4841"/>
    <w:rsid w:val="004F4D65"/>
    <w:rsid w:val="00533E91"/>
    <w:rsid w:val="005633F4"/>
    <w:rsid w:val="00580259"/>
    <w:rsid w:val="00581BB5"/>
    <w:rsid w:val="005A0354"/>
    <w:rsid w:val="005F20D1"/>
    <w:rsid w:val="00605752"/>
    <w:rsid w:val="00617A42"/>
    <w:rsid w:val="00664F1B"/>
    <w:rsid w:val="00684D95"/>
    <w:rsid w:val="006A20A3"/>
    <w:rsid w:val="006C0C9A"/>
    <w:rsid w:val="006C436B"/>
    <w:rsid w:val="006D2DE8"/>
    <w:rsid w:val="006E2B77"/>
    <w:rsid w:val="006E4EEB"/>
    <w:rsid w:val="0073674E"/>
    <w:rsid w:val="00750BB8"/>
    <w:rsid w:val="00773544"/>
    <w:rsid w:val="007736A9"/>
    <w:rsid w:val="007A1878"/>
    <w:rsid w:val="007A1F00"/>
    <w:rsid w:val="007A2A4A"/>
    <w:rsid w:val="007A5BF5"/>
    <w:rsid w:val="00847BA6"/>
    <w:rsid w:val="00850C4C"/>
    <w:rsid w:val="00852F88"/>
    <w:rsid w:val="00855A89"/>
    <w:rsid w:val="00877506"/>
    <w:rsid w:val="00885002"/>
    <w:rsid w:val="00891A97"/>
    <w:rsid w:val="00892B9C"/>
    <w:rsid w:val="008C5A1E"/>
    <w:rsid w:val="008E3863"/>
    <w:rsid w:val="009679DF"/>
    <w:rsid w:val="00986031"/>
    <w:rsid w:val="009932A5"/>
    <w:rsid w:val="0099641D"/>
    <w:rsid w:val="009A3321"/>
    <w:rsid w:val="009D12EC"/>
    <w:rsid w:val="009D6B97"/>
    <w:rsid w:val="009D72B9"/>
    <w:rsid w:val="009E4448"/>
    <w:rsid w:val="00A00299"/>
    <w:rsid w:val="00A37C1D"/>
    <w:rsid w:val="00A45681"/>
    <w:rsid w:val="00A5726C"/>
    <w:rsid w:val="00A63617"/>
    <w:rsid w:val="00A81B42"/>
    <w:rsid w:val="00AA43E3"/>
    <w:rsid w:val="00AB4944"/>
    <w:rsid w:val="00AD7E4C"/>
    <w:rsid w:val="00B116D9"/>
    <w:rsid w:val="00B4441F"/>
    <w:rsid w:val="00B64E06"/>
    <w:rsid w:val="00C0401A"/>
    <w:rsid w:val="00C21F82"/>
    <w:rsid w:val="00C2314E"/>
    <w:rsid w:val="00C26583"/>
    <w:rsid w:val="00C51FE4"/>
    <w:rsid w:val="00C6789F"/>
    <w:rsid w:val="00C75545"/>
    <w:rsid w:val="00C86D84"/>
    <w:rsid w:val="00CC54E9"/>
    <w:rsid w:val="00CE3455"/>
    <w:rsid w:val="00CE46F3"/>
    <w:rsid w:val="00CE4979"/>
    <w:rsid w:val="00D25A9E"/>
    <w:rsid w:val="00D37208"/>
    <w:rsid w:val="00D64810"/>
    <w:rsid w:val="00D74787"/>
    <w:rsid w:val="00DA78E7"/>
    <w:rsid w:val="00DE4FCF"/>
    <w:rsid w:val="00DE508A"/>
    <w:rsid w:val="00DF72FA"/>
    <w:rsid w:val="00E0021C"/>
    <w:rsid w:val="00E03E94"/>
    <w:rsid w:val="00E7228C"/>
    <w:rsid w:val="00E978E5"/>
    <w:rsid w:val="00EC04C8"/>
    <w:rsid w:val="00EC14AA"/>
    <w:rsid w:val="00EC3971"/>
    <w:rsid w:val="00ED102B"/>
    <w:rsid w:val="00ED39CB"/>
    <w:rsid w:val="00F10C4E"/>
    <w:rsid w:val="00F164AB"/>
    <w:rsid w:val="00F37BF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5</Pages>
  <Words>1309</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66</cp:revision>
  <cp:lastPrinted>2019-05-22T10:28:00Z</cp:lastPrinted>
  <dcterms:created xsi:type="dcterms:W3CDTF">2019-05-22T10:24:00Z</dcterms:created>
  <dcterms:modified xsi:type="dcterms:W3CDTF">2023-08-25T05:25:00Z</dcterms:modified>
  <cp:contentStatus/>
</cp:coreProperties>
</file>